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Look w:val="04A0" w:firstRow="1" w:lastRow="0" w:firstColumn="1" w:lastColumn="0" w:noHBand="0" w:noVBand="1"/>
      </w:tblPr>
      <w:tblGrid>
        <w:gridCol w:w="477"/>
        <w:gridCol w:w="477"/>
        <w:gridCol w:w="1587"/>
        <w:gridCol w:w="1596"/>
        <w:gridCol w:w="1448"/>
        <w:gridCol w:w="1280"/>
        <w:gridCol w:w="1538"/>
        <w:gridCol w:w="1463"/>
        <w:gridCol w:w="1195"/>
        <w:gridCol w:w="2284"/>
      </w:tblGrid>
      <w:tr w:rsidR="001A3C29" w:rsidRPr="001A3C29" w:rsidTr="008B3708">
        <w:trPr>
          <w:trHeight w:val="375"/>
          <w:jc w:val="center"/>
        </w:trPr>
        <w:tc>
          <w:tcPr>
            <w:tcW w:w="13345" w:type="dxa"/>
            <w:gridSpan w:val="10"/>
            <w:vAlign w:val="center"/>
            <w:hideMark/>
          </w:tcPr>
          <w:p w:rsidR="001A3C29" w:rsidRPr="001A3C29" w:rsidRDefault="001A3C29" w:rsidP="001A3C29">
            <w:pPr>
              <w:jc w:val="center"/>
              <w:rPr>
                <w:rFonts w:ascii="Times New Roman" w:hAnsi="Times New Roman" w:cs="Times New Roman"/>
                <w:b/>
                <w:bCs/>
                <w:sz w:val="20"/>
                <w:szCs w:val="20"/>
              </w:rPr>
            </w:pPr>
            <w:bookmarkStart w:id="0" w:name="RANGE!A1:J65"/>
            <w:r w:rsidRPr="001A3C29">
              <w:rPr>
                <w:rFonts w:ascii="Times New Roman" w:hAnsi="Times New Roman" w:cs="Times New Roman"/>
                <w:b/>
                <w:bCs/>
                <w:sz w:val="20"/>
                <w:szCs w:val="20"/>
              </w:rPr>
              <w:t>DANH MỤC CÁC DỰ ÁN BẤT ĐỘNG SẢN TRÊN ĐỊA BÀN TỈNH BÌNH ĐỊNH</w:t>
            </w:r>
            <w:bookmarkEnd w:id="0"/>
          </w:p>
        </w:tc>
      </w:tr>
      <w:tr w:rsidR="001A3C29" w:rsidRPr="001A3C29" w:rsidTr="008B3708">
        <w:trPr>
          <w:trHeight w:val="375"/>
          <w:jc w:val="center"/>
        </w:trPr>
        <w:tc>
          <w:tcPr>
            <w:tcW w:w="13345" w:type="dxa"/>
            <w:gridSpan w:val="10"/>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(Cập nhật đến tháng 11/2020)</w:t>
            </w:r>
          </w:p>
        </w:tc>
      </w:tr>
      <w:tr w:rsidR="001A3C29" w:rsidRPr="001A3C29" w:rsidTr="008B3708">
        <w:trPr>
          <w:trHeight w:val="630"/>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STT</w:t>
            </w:r>
          </w:p>
        </w:tc>
        <w:tc>
          <w:tcPr>
            <w:tcW w:w="1587" w:type="dxa"/>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Tên dự án</w:t>
            </w:r>
          </w:p>
        </w:tc>
        <w:tc>
          <w:tcPr>
            <w:tcW w:w="1596" w:type="dxa"/>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Chủ đầu tư</w:t>
            </w:r>
          </w:p>
        </w:tc>
        <w:tc>
          <w:tcPr>
            <w:tcW w:w="1448" w:type="dxa"/>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Địa điểm</w:t>
            </w:r>
          </w:p>
        </w:tc>
        <w:tc>
          <w:tcPr>
            <w:tcW w:w="1280" w:type="dxa"/>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Quy mô sử dụng đất</w:t>
            </w:r>
          </w:p>
        </w:tc>
        <w:tc>
          <w:tcPr>
            <w:tcW w:w="1538" w:type="dxa"/>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Mục tiêu dự án</w:t>
            </w:r>
          </w:p>
        </w:tc>
        <w:tc>
          <w:tcPr>
            <w:tcW w:w="1463" w:type="dxa"/>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Tính chất pháp lý</w:t>
            </w:r>
          </w:p>
        </w:tc>
        <w:tc>
          <w:tcPr>
            <w:tcW w:w="1195" w:type="dxa"/>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Tiến độ thực hiện</w:t>
            </w:r>
          </w:p>
        </w:tc>
        <w:tc>
          <w:tcPr>
            <w:tcW w:w="2284" w:type="dxa"/>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Ghi chú</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CÁC DỰ ÁN NHÀ Ở XÃ HỘI</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 Chung cư Hoàng Văn Thụ (phần mở rộng)</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Trainco Bình Định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vực 6, phường Quang Trung,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6.293m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chung cư 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 đã có GPXD</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2018-2020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bookmarkStart w:id="1" w:name="_GoBack"/>
            <w:bookmarkEnd w:id="1"/>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Tân Đại Minh (Lamer 1)</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Tân Đại Minh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vực 5, phường Quang Trung,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12.163m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chung cư 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 đã có GPXD</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2019-2020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Nam Ngân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Nam Ngân</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Số 44 đường Đinh Bộ Lĩnh, phường Hải Cảng,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1.800m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chung cư 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 đã có GPXD</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2019-2020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Ecohome Nhơn Bình</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Ecohome Nhơn Bình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Nhơn Bình,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46.034m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 chưa có GPXD</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2019-2022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An Phú Thịnh</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Phát triển ĐTXD và Du lịch An Phú Thịnh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B1, Khu đô thị An Phú Thịnh, phường Nhơn Bình,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11.735,50</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2/2020-2/2023</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94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Tân Đại Minh 2 (Lamer 2)</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Tân Đại Minh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 Quang Trung,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13.423m2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III/2020 - Quý II/2024</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7</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nhà ở xã hội Việt Pháp (Residences)</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Thương mại và Dịch vụ Việt Pháp</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Tại số 1006 đường Trần Hưng Đạo, phường Đống Đa,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3640,4m2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IV/2020 đến quý IV/2022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220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8</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8</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PISICO</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Tổng Công ty PISICO Bình Định – Công ty cổ phần</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đất Xí nghiệp Lâm nghiệp PISICO, tại tổ 6, khu vực 7, phường Trần Quang Diệu,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5.707,2m2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IV/2020 đến quý IV/2023</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94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9</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9</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Bông Hồng</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Bất động sản Bông Hồng</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vực 3, phường Ghềnh Ráng, thành phố Quy Nhơn</w:t>
            </w:r>
          </w:p>
        </w:tc>
        <w:tc>
          <w:tcPr>
            <w:tcW w:w="1280" w:type="dxa"/>
            <w:noWrap/>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28602,4m2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III/2019 đến quý IV/2023</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10</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10</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 Nhơn Phú</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Nguyên liệu giấy Quy Nhơn</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Quốc lộ 1D, phường Nhơn Phú,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35200m2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IV/2020 đến quý IV/2023</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CÁC DỰ ÁN PHÁT TRIỂN NHÀ Ở THƯƠNG MẠI</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II.1</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CHUNG CƯ THƯƠNG MẠI</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11</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chung cư Thịnh Phát - Thịnh Phát Tower</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BMT Fico</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Số 388 đường Nguyễn Thái Học,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3.803,9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nhà ở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2017-2020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12</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cao tầng hồ sinh thái đầm Đống Đa</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MTV Bất động sản Phú Tài</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Đường Lê Đức Thọ, phường Hải Cảng,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5.830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nhà ở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đã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2019-2022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13</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Tòa nhà hỗn hợp thương mại dịch vụ và căn hộ Luxury Quy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Foodinco Quy Nhơn</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Số 76, đường Trần Hưng Đạo, phường Hải Cảng,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2.664,2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nhà ở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đã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2018-2020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14</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An Phú Thịnh Garden Tower</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Phát triển ĐTXD và Du lịch An Phú Thịnh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B1, Khu đô thị mới An Phú Thịnh, phường Nhơn Bình,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11.514,8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nhà ở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2017-2022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Đang triển khai Block A; 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15</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Tòa nhà thương mại, dịch vụ và chung cư (Ecolife Riverside)</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và Thương mại Thủ Đô</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đất C1-Khu dân cư Đông đường Điện Biên Phủ,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7.333m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chung cư nhà ở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 chưa có GPXD</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2019-2021</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189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16</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Trung tâm Thương mại - Dịch vụ, Văn phòng và Căn hộ I-Tower Quy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Phát triển bất động sản Đô Thành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Thửa đất số 299, tờ bản đồ số 28, đường Lê Duẩn, phường Lý Thường Kiệt,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10.478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tổ hợp trung tâm thương mại - dịch vụ, văn phòng và căn hộ chung cư nhà ở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Đang triển khai thủ tục đầu tư xây dựng; chưa có GPXD</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2016-2020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Chậm tiến độ; chưa 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17</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08 Trần Bình Trọng</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xây dựng Phú Mỹ - Quy Nhơn</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08 Trần Bình Trọng</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7.071,40</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chung cư nhà ở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3/2020-4/2023</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220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18</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8</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công trình thương mại dịch vụ, khách sạn, chung cư nhà ở tại số 01 đường Nguyễn Tất Thành, thành phố Quy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Dịch vụ giải trí Hưng Thịnh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Số 01 đường Nguyễn Tất Thành, phường Lý Thường Kiệt,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8.027m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phức hợp thương mại, dịch vụ, văn phòng, khách sạn, chung cư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phê duyệt kết quả đơn vị trúng đấu giá; Giấy chứng nhận đầu tư 4484640150</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3/2019 - quý 2/2022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19</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9</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phức hợp căn hộ Quy Nhơn Seaview</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và Xây dựng HUD405 - Bình Định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70 đường Tây Sơn,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6723m2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phức hợp căn hộ Quy Nhơn Seaview thiết kế với quy mô dân số 4.340 người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3/2019- Quý 2/2023</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10</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Calla Apartment Quy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phát triển Armo</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Ghềnh Ráng, thành phố Quy Nhơn, tỉnh Bình Định</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3076m2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Chứng nhận đăng ký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2/2019 - quý 4/2023</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220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21</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11</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phức hợp cao tầng nhà ở chung cư và dịch vụ</w:t>
            </w:r>
            <w:r w:rsidRPr="001A3C29">
              <w:rPr>
                <w:rFonts w:ascii="Times New Roman" w:hAnsi="Times New Roman" w:cs="Times New Roman"/>
                <w:sz w:val="20"/>
                <w:szCs w:val="20"/>
              </w:rPr>
              <w:br/>
              <w:t>thương mại</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và xây dựng Vina2</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tái định cư Đê Đông – Nhơn Bình, thành phố Quy Nhơn</w:t>
            </w:r>
          </w:p>
        </w:tc>
        <w:tc>
          <w:tcPr>
            <w:tcW w:w="1280" w:type="dxa"/>
            <w:noWrap/>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2526,6m2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Trúng đấu giá quyền sử dụng đất để thực hiện dự án tại QĐ 2330/QĐ-UBND ngày 12/6/2020</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2/2020-2/2024</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II.2</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KHU ĐÔ THỊ</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II.2.1</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ĐỊA BÀN THÀNH PHỐ QUY NHƠN</w:t>
            </w:r>
          </w:p>
        </w:tc>
      </w:tr>
      <w:tr w:rsidR="001A3C29" w:rsidRPr="001A3C29" w:rsidTr="008B3708">
        <w:trPr>
          <w:trHeight w:val="1260"/>
          <w:jc w:val="center"/>
        </w:trPr>
        <w:tc>
          <w:tcPr>
            <w:tcW w:w="477" w:type="dxa"/>
            <w:vMerge w:val="restart"/>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22</w:t>
            </w:r>
          </w:p>
        </w:tc>
        <w:tc>
          <w:tcPr>
            <w:tcW w:w="477" w:type="dxa"/>
            <w:vMerge w:val="restart"/>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1587" w:type="dxa"/>
            <w:vMerge w:val="restart"/>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An Phú Thịnh</w:t>
            </w:r>
          </w:p>
        </w:tc>
        <w:tc>
          <w:tcPr>
            <w:tcW w:w="1596" w:type="dxa"/>
            <w:vMerge w:val="restart"/>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Phát triển ĐTXD và Du lịch An Phú Thịnh</w:t>
            </w:r>
          </w:p>
        </w:tc>
        <w:tc>
          <w:tcPr>
            <w:tcW w:w="1448" w:type="dxa"/>
            <w:vMerge w:val="restart"/>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Nhơn Bình, Đống Đa</w:t>
            </w:r>
          </w:p>
        </w:tc>
        <w:tc>
          <w:tcPr>
            <w:tcW w:w="1280" w:type="dxa"/>
            <w:vMerge w:val="restart"/>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113,1</w:t>
            </w:r>
          </w:p>
        </w:tc>
        <w:tc>
          <w:tcPr>
            <w:tcW w:w="1538" w:type="dxa"/>
            <w:vMerge w:val="restart"/>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w:t>
            </w:r>
          </w:p>
        </w:tc>
        <w:tc>
          <w:tcPr>
            <w:tcW w:w="1463" w:type="dxa"/>
            <w:vMerge w:val="restart"/>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 xml:space="preserve">Chứng nhận đăng ký đầu tư; Chấp thuận đầu tư; Quy hoạch chi tiết </w:t>
            </w:r>
            <w:r w:rsidRPr="001A3C29">
              <w:rPr>
                <w:rFonts w:ascii="Times New Roman" w:hAnsi="Times New Roman" w:cs="Times New Roman"/>
                <w:sz w:val="20"/>
                <w:szCs w:val="20"/>
              </w:rPr>
              <w:lastRenderedPageBreak/>
              <w:t>1/500</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2010-2017</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Được phép chuyển quyền sử dụng đất đã đầu tư xây dựng hạ tầng cho người dân tự xây nhà ở đối với khu B3.</w:t>
            </w:r>
          </w:p>
        </w:tc>
      </w:tr>
      <w:tr w:rsidR="008B3708" w:rsidRPr="001A3C29" w:rsidTr="008B3708">
        <w:trPr>
          <w:trHeight w:val="1890"/>
          <w:jc w:val="center"/>
        </w:trPr>
        <w:tc>
          <w:tcPr>
            <w:tcW w:w="477" w:type="dxa"/>
            <w:vMerge/>
            <w:vAlign w:val="center"/>
            <w:hideMark/>
          </w:tcPr>
          <w:p w:rsidR="001A3C29" w:rsidRPr="001A3C29" w:rsidRDefault="001A3C29" w:rsidP="001A3C29">
            <w:pPr>
              <w:jc w:val="center"/>
              <w:rPr>
                <w:rFonts w:ascii="Times New Roman" w:hAnsi="Times New Roman" w:cs="Times New Roman"/>
                <w:sz w:val="20"/>
                <w:szCs w:val="20"/>
              </w:rPr>
            </w:pPr>
          </w:p>
        </w:tc>
        <w:tc>
          <w:tcPr>
            <w:tcW w:w="477" w:type="dxa"/>
            <w:vMerge/>
            <w:vAlign w:val="center"/>
            <w:hideMark/>
          </w:tcPr>
          <w:p w:rsidR="001A3C29" w:rsidRPr="001A3C29" w:rsidRDefault="001A3C29" w:rsidP="001A3C29">
            <w:pPr>
              <w:jc w:val="center"/>
              <w:rPr>
                <w:rFonts w:ascii="Times New Roman" w:hAnsi="Times New Roman" w:cs="Times New Roman"/>
                <w:sz w:val="20"/>
                <w:szCs w:val="20"/>
              </w:rPr>
            </w:pPr>
          </w:p>
        </w:tc>
        <w:tc>
          <w:tcPr>
            <w:tcW w:w="1587" w:type="dxa"/>
            <w:vMerge/>
            <w:vAlign w:val="center"/>
            <w:hideMark/>
          </w:tcPr>
          <w:p w:rsidR="001A3C29" w:rsidRPr="001A3C29" w:rsidRDefault="001A3C29" w:rsidP="001A3C29">
            <w:pPr>
              <w:jc w:val="center"/>
              <w:rPr>
                <w:rFonts w:ascii="Times New Roman" w:hAnsi="Times New Roman" w:cs="Times New Roman"/>
                <w:sz w:val="20"/>
                <w:szCs w:val="20"/>
              </w:rPr>
            </w:pPr>
          </w:p>
        </w:tc>
        <w:tc>
          <w:tcPr>
            <w:tcW w:w="1596" w:type="dxa"/>
            <w:vMerge/>
            <w:vAlign w:val="center"/>
            <w:hideMark/>
          </w:tcPr>
          <w:p w:rsidR="001A3C29" w:rsidRPr="001A3C29" w:rsidRDefault="001A3C29" w:rsidP="001A3C29">
            <w:pPr>
              <w:jc w:val="center"/>
              <w:rPr>
                <w:rFonts w:ascii="Times New Roman" w:hAnsi="Times New Roman" w:cs="Times New Roman"/>
                <w:sz w:val="20"/>
                <w:szCs w:val="20"/>
              </w:rPr>
            </w:pPr>
          </w:p>
        </w:tc>
        <w:tc>
          <w:tcPr>
            <w:tcW w:w="1448" w:type="dxa"/>
            <w:vMerge/>
            <w:vAlign w:val="center"/>
            <w:hideMark/>
          </w:tcPr>
          <w:p w:rsidR="001A3C29" w:rsidRPr="001A3C29" w:rsidRDefault="001A3C29" w:rsidP="001A3C29">
            <w:pPr>
              <w:jc w:val="center"/>
              <w:rPr>
                <w:rFonts w:ascii="Times New Roman" w:hAnsi="Times New Roman" w:cs="Times New Roman"/>
                <w:sz w:val="20"/>
                <w:szCs w:val="20"/>
              </w:rPr>
            </w:pPr>
          </w:p>
        </w:tc>
        <w:tc>
          <w:tcPr>
            <w:tcW w:w="1280" w:type="dxa"/>
            <w:vMerge/>
            <w:vAlign w:val="center"/>
            <w:hideMark/>
          </w:tcPr>
          <w:p w:rsidR="001A3C29" w:rsidRPr="001A3C29" w:rsidRDefault="001A3C29" w:rsidP="001A3C29">
            <w:pPr>
              <w:jc w:val="center"/>
              <w:rPr>
                <w:rFonts w:ascii="Times New Roman" w:hAnsi="Times New Roman" w:cs="Times New Roman"/>
                <w:sz w:val="20"/>
                <w:szCs w:val="20"/>
              </w:rPr>
            </w:pPr>
          </w:p>
        </w:tc>
        <w:tc>
          <w:tcPr>
            <w:tcW w:w="1538" w:type="dxa"/>
            <w:vMerge/>
            <w:vAlign w:val="center"/>
            <w:hideMark/>
          </w:tcPr>
          <w:p w:rsidR="001A3C29" w:rsidRPr="001A3C29" w:rsidRDefault="001A3C29" w:rsidP="001A3C29">
            <w:pPr>
              <w:jc w:val="center"/>
              <w:rPr>
                <w:rFonts w:ascii="Times New Roman" w:hAnsi="Times New Roman" w:cs="Times New Roman"/>
                <w:sz w:val="20"/>
                <w:szCs w:val="20"/>
              </w:rPr>
            </w:pPr>
          </w:p>
        </w:tc>
        <w:tc>
          <w:tcPr>
            <w:tcW w:w="1463" w:type="dxa"/>
            <w:vMerge/>
            <w:vAlign w:val="center"/>
            <w:hideMark/>
          </w:tcPr>
          <w:p w:rsidR="001A3C29" w:rsidRPr="001A3C29" w:rsidRDefault="001A3C29" w:rsidP="001A3C29">
            <w:pPr>
              <w:jc w:val="center"/>
              <w:rPr>
                <w:rFonts w:ascii="Times New Roman" w:hAnsi="Times New Roman" w:cs="Times New Roman"/>
                <w:sz w:val="20"/>
                <w:szCs w:val="20"/>
              </w:rPr>
            </w:pP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2017-2020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 và chưa được phép chuyển quyền sử dụng đất đã đầu tư xây dựng hạ tầng cho người dân tự xây nhà ở khu B1, B2</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23</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xanh Vũng Chua</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và Xây dựng Kim Cúc</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Ghềnh Ráng, thành phố Quy Nhơn, tỉnh Bình Định</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19,4 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Xây dựng trung tâm thương mại, khu dân cư sinh thái cao cấp</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Giấy chứng nhận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2010-2023</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Được phép chuyển quyền sử dụng đất đã đầu tư xây dựng hạ tầng cho người dân tự xây nhà ở khu nhà ở liên kế (khu đất bằng)</w:t>
            </w:r>
          </w:p>
        </w:tc>
      </w:tr>
      <w:tr w:rsidR="001A3C29" w:rsidRPr="001A3C29" w:rsidTr="008B3708">
        <w:trPr>
          <w:trHeight w:val="220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24</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Đại Phú Gia</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Phú Hiệp</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thương mại Bắc sông Hà Thanh (khu C), phường Nhơn Bình, thành phố Quy Nhơn, tỉnh Bình Định</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34,29 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mới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có giấy phép xây dựng một số công trình.</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2015-2022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Được phép chuyển quyền sử dụng đất đã đầu tư xây dựng hạ tầng cho người dân tự xây nhà ở (giai đoạn 1 và 2);</w:t>
            </w:r>
          </w:p>
        </w:tc>
      </w:tr>
      <w:tr w:rsidR="001A3C29" w:rsidRPr="001A3C29" w:rsidTr="008B3708">
        <w:trPr>
          <w:trHeight w:val="252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25</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An Phước</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MTV An Phước</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Số 105 Tây Sơn, phường Quang Trung,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12.775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thương mại; nhà phố liền kề</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có quyết định chấp thuận đầu tư, đã có giấy phép xây dựng nhà liên kế và hạ tầng (chưa có GPXD nhà chung cư)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2018-2022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 đối với hạng mục Nhà liên kế (Chưa đủ điều kiện của bất động sản hình thành trong tương lai được đưa vào kinh doanh đối với Nhà chung cư)</w:t>
            </w:r>
          </w:p>
        </w:tc>
      </w:tr>
      <w:tr w:rsidR="001A3C29" w:rsidRPr="001A3C29" w:rsidTr="008B3708">
        <w:trPr>
          <w:trHeight w:val="189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26</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nhà ở Vạn Phát</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tổng hợp Toàn Phát</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vực Bàu Lác, phường Trần Quang Diệu,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42.386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Xây dựng nhà ở thương mại, dịch vụ và nhà ở xã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Chứng nhận đăng ký đầu tư; Chấp thuận chủ trương đầu tư; Quy hoạch chi tiết 1/500</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2016-2020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Chậm tiến độ; chưa 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27</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mới khu vực Chợ Góc (CG-01)</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Liên danh Công ty Phú Hiệp và Quốc Thắng</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vực Chợ Góc phường Nhơn Bình, thành phố Quy Nhơn, tỉnh Bình Định.</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62ha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dân cư, dịch vụ thương mại, du lịch</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phê duyệt kết quả đơn vị trúng đấu giá; chưa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2/2020-2/2025</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28</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dân cư Hưng Thịnh</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tập đoàn Hưng Thịnh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Ghềnh Ráng, thành phố Quy Nhơn, tỉnh Bình Định</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82,4092 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Chung cư cao tầng, nhà liên kế, nhà song lập, nhà liên kế kết hợp thương mại dịch vụ</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Giấy chứng nhận đăng ký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4/2019-quý 4/2024</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29</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8</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nhà ở Trường Thành</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Sản xuất Thương mại và đầu tư Nam Minh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Quang Trung, thành phố Quy Nhơn, tỉnh Bình Định</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9200m2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Nhà ở liền kề, chung cư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2/2018-quý 4/2020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30</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9</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Phức hợp Đô thị -  Thương mại - Dịch vụ  Ánh Việt</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Thương mại Ánh Việt</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Quang Trung, thành phố Quy Nhơn, tỉnh Bình Định</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70590m2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Xây dựng chung cư, nhà ở liên kế, công trình dịch vụ thương mại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3/2016-quý 4/2018</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II.2.2</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AN NHƠN</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31</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dân cư Vĩnh Liêm</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Đại Tín</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vực Vĩnh Liêm, phường Bình Định, thị xã An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48.678m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liên kế, đầu tư hoàn chỉnh hệ thống hạ tầng kỹ thuật)</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2018-2020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Được phép chuyển quyền sử dụng đất đã đầu tư xây dựng hạ tầng cho người dân tự xây nhà ở</w:t>
            </w:r>
          </w:p>
        </w:tc>
      </w:tr>
      <w:tr w:rsidR="001A3C29" w:rsidRPr="001A3C29" w:rsidTr="008B3708">
        <w:trPr>
          <w:trHeight w:val="94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32</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Dân cư Bàn Thành</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Bàn Thành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KDC Bàn Thành, phường Đập Đá, thị xã An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52.108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ở liên kế phố)</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2017-2018</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Được phép chuyển quyền sử dụng đất đã đầu tư xây dựng hạ tầng cho người dân tự xây nhà ở</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33</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Dân cư Đông Bàn Thành</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Đông Bàn Thành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KDC Đông Bàn Thành, phường Đập Đá, thị xã An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10,5ha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ở biệt thự và liên kế phố)</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2019-2020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Được phép chuyển quyền sử dụng đất đã đầu tư xây dựng hạ tầng cho người dân tự xây nhà ở (giai đoạn 1)</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34</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Bắc sông Tân An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Nam Phát Bình Định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Bình Định, thị xã An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14,65 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ở biệt thự và liên kế phố)</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2016-2021</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Được phép chuyển quyền sử dụng đất đã đầu tư xây dựng hạ tầng cho người dân tự xây nhà ở</w:t>
            </w:r>
          </w:p>
        </w:tc>
      </w:tr>
      <w:tr w:rsidR="001A3C29" w:rsidRPr="001A3C29" w:rsidTr="008B3708">
        <w:trPr>
          <w:trHeight w:val="189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35</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 Thương mại - Dịch vụ Đông Bắc cầu Tân An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Tân An Land</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Bình Định, thị xã An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378.671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ở biệt thự và liên kế phố, trung tâm thương mại, nhà hàng, khách sạn)</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chủ trương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2017-2021</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57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36</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Dịch vụ, Thương mại, Dân cư Bắc cầu Tân An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An Nhơn Land</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Bình Định, thị xã An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70ha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liên kế, đầu tư hoàn chỉnh hệ thống hạ tầng kỹ thuật)</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chủ trương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2017-2021</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37</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7</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dọc hai bên đường liên phường Bình Định đi Nhơn Hưng</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Bình Định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Phường Bình Định và phường Nhơn Hưng, thị xã An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35,05ha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ở biệt thự và liên kế phố)</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chủ trương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2016-2021</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38</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8</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dân cư đường N4, Khu đô thị mới Cẩm Văn, phường Nhơn Hưng</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ĐTXD&amp;TMDV Yến Tùng</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vực Cẩm Văn, phường Nhơn Hưng, thị xã An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65.494,4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biệt thự và liên kế phố)</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 chưa có GPXD</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2017-2020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điều kiện của bất động sản hình thành trong tương lai được đưa vào kinh doanh</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II.2.3</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HOÀI NHƠN</w:t>
            </w:r>
          </w:p>
        </w:tc>
      </w:tr>
      <w:tr w:rsidR="001A3C29" w:rsidRPr="001A3C29" w:rsidTr="008B3708">
        <w:trPr>
          <w:trHeight w:val="189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39</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dân cư Phú Mỹ Lộc, huyện Hoài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TCV</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Khối 8, thị trấn Tam Quan, huyện Hoài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12,965ha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liên kế, nhà biệt thự, đầu tư hoàn chỉnh hệ thống hạ tầng kỹ thuật)</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chấp thuận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1/2020-QUÝ 4/2022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II.2.4</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KHU KINH TẾ TỈNH</w:t>
            </w:r>
          </w:p>
        </w:tc>
      </w:tr>
      <w:tr w:rsidR="001A3C29" w:rsidRPr="001A3C29" w:rsidTr="008B3708">
        <w:trPr>
          <w:trHeight w:val="189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40</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chức năng FLC Lux City Quy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TNHH Đầu tư và Phát triển FLC Faros Bình Định</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Phân khu số 6, Khu đô thị du lịch sinh thái Nhơn Hội thuộc Khu kinh tế Nhơn Hội,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32,6ha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chức năng cao cấp (nhà ở thấp tầng và biệt thự)</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chủ trương đầu tư</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441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41</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Đầu tư phát triển đô thị tại Phân khu số 4 thuộc Khu đô thị du lịch sinh thái Nhơn Hội</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Phát triển bất động sản Phát Đạt</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Phân khu số 4 thuộc Khu đô thị du lịch sinh thái Nhơn Hội, xã Nhơn Hội,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34,16ha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liên kế, nhà biệt thự, đầu tư hoàn chỉnh hệ thống hạ tầng kỹ thuật)</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2019-2022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Được phép chuyển quyền sử dụng đất đã đầu tư xây dựng hạ tầng cho người dân tự xây nhà ở 1.064 lô. Riêng đối với các lô đất tiếp giáp với các tuyến dường trục Khu kinh tế Nhơn Hội (Quốc lộ 19B, mặt cắt ngang rộng 80m), dường trung tâm lõi khu đô thị (đường K4 theo quy hoạch Phân khu số 4, mặt cắt ngang rộng 50m), tuyến đường K2, K3 (mặt cắt ngang rộng 27m) chưa thực hiện chuyển quyền sử dụng đất (vì chưa đủ điều kiện theo quy định)</w:t>
            </w:r>
          </w:p>
        </w:tc>
      </w:tr>
      <w:tr w:rsidR="001A3C29" w:rsidRPr="001A3C29" w:rsidTr="008B3708">
        <w:trPr>
          <w:trHeight w:val="189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42</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Đầu tư phát triển đô thị tại Phân khu số 2 thuộc Khu đô thị du lịch sinh thái Nhơn Hội</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Phát triển bất động sản Phát Đạt</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Phân khu số 2 thuộc Khu đô thị du lịch sinh thái Nhơn Hội, xã Nhơn Hội,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36,1ha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phát triển nhà ở thương mại (nhà liên kế, nhà biệt thự, chung cư, đầu tư hoàn chỉnh hệ thống hạ tầng kỹ thuật)</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2019-2022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 và chưa được phép chuyển quyền sử dụng đất đã đầu tư xây dựng hạ tầng cho người dân tự xây nhà ở</w:t>
            </w:r>
          </w:p>
        </w:tc>
      </w:tr>
      <w:tr w:rsidR="001A3C29" w:rsidRPr="001A3C29" w:rsidTr="008B3708">
        <w:trPr>
          <w:trHeight w:val="315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43</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Đầu tư phát triển đô thị tại Phân khu số 9 thuộc Khu đô thị du lịch sinh thái Nhơn Hội</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Phát triển bất động sản Phát Đạt</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Phân khu số 9 thuộc Khu đô thị du lịch sinh thái Nhơn Hội, xã Nhơn Hội,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45,94</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Phát triển quỹ nhà ở phục vụ dân cư địa phương và công nhân, chuyên gia làm việc tại Khu kinh tế Nhơn Hội</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đầu tư dự án</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3/2019-QUÝ 3/2024</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cho thực hiện chuyển quyền sử dụng đất đã đầu tư xây dựng hạ tầng cho người dân tự xây dựng nhà ở đối với 2.055 lô đất . Riêng đối với các lô đất tiếp giáp với tuyến đường Quốc lộ 19B, tuyến đường đi Nhơn Lý phía Bắc dự án và tuyến đường khu vực K5, chưa thực hiện chuyển quyền sử dụng đất (vì chưa đủ điều kiện theo quy định</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III</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CĂN HỘ KHÁCH SẠN</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III.1</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ĐỊA BÀN THÀNH PHỐ QUY NHƠN</w:t>
            </w:r>
          </w:p>
        </w:tc>
      </w:tr>
      <w:tr w:rsidR="001A3C29" w:rsidRPr="001A3C29" w:rsidTr="008B3708">
        <w:trPr>
          <w:trHeight w:val="283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44</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FLC Sea Tower Quy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Xây dựng FLC Faros</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Lô đất DV1 và DV4 thuộc khu Đô thị - Thương mại - Dịch vụ phía Tây đường An Dương Vương, phường Nguyễn Văn Cừ,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28.602,4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Khách sạn và căn hộ khách sạn (condotel)</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chủ trương đầu tư, đã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Quý 1/2016- QUÝ 2/2020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chậm tiến độ; đủ điều kiện của bất động sản hình thành trong tương lai được đưa vào kinh doanh đối với hạng mục Condotel</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45</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TMS Luxury Hotel Quy Nhơn Beach</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Tập đoàn TMS</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Số 28 đường Nguyễn Huệ,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2.621,8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 xml:space="preserve">Trung tâm thương mại, khách sạn và căn hộ nghĩ dưỡng </w:t>
            </w:r>
            <w:r w:rsidRPr="001A3C29">
              <w:rPr>
                <w:rFonts w:ascii="Times New Roman" w:hAnsi="Times New Roman" w:cs="Times New Roman"/>
                <w:sz w:val="20"/>
                <w:szCs w:val="20"/>
              </w:rPr>
              <w:lastRenderedPageBreak/>
              <w:t>(condotel)</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Đã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2017 – 2019</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bookmarkStart w:id="2" w:name="RANGE!J59"/>
            <w:r w:rsidRPr="001A3C29">
              <w:rPr>
                <w:rFonts w:ascii="Times New Roman" w:hAnsi="Times New Roman" w:cs="Times New Roman"/>
                <w:sz w:val="20"/>
                <w:szCs w:val="20"/>
              </w:rPr>
              <w:t>Đủ điều kiện của bất động sản hình thành trong tương lai được đưa vào kinh doanh</w:t>
            </w:r>
            <w:bookmarkEnd w:id="2"/>
          </w:p>
        </w:tc>
      </w:tr>
      <w:tr w:rsidR="001A3C29" w:rsidRPr="001A3C29" w:rsidTr="008B3708">
        <w:trPr>
          <w:trHeight w:val="252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46</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Condotel (căn hộ khách sạn) BMC Quy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kinh doanh địa ốc BMC Quy Nhơn</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Lô DV3 thuộc khu Đô thị - Thương mại - Dịch vụ phía Tây đường An Dương Vương, phường Nguyễn Văn Cừ,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3.948,7m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Căn hộ khách sạn (condotel)</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có quyết định chấp thuận chủ trương đầu tư; chưa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2020-2022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252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47</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condotel (căn hộ khách sạn) Kim Cúc</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kinh doanh địa ốc Kim Cúc</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Lô DV2 thuộc khu Đô thị - Thương mại - Dịch vụ phía Tây đường An Dương Vương, phường Nguyễn Văn Cừ,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3.156,9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Căn hộ khách sạn (condotel)</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có quyết định chấp thuận chủ trương đầu tư; chưa có giấy phép xây dựng</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2020-2022</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Chưa đủ điều kiện của bất động sản hình thành trong tương lai được đưa vào kinh doanh</w:t>
            </w:r>
          </w:p>
        </w:tc>
      </w:tr>
      <w:tr w:rsidR="001A3C29" w:rsidRPr="001A3C29" w:rsidTr="008B3708">
        <w:trPr>
          <w:trHeight w:val="1260"/>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48</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Tổ hợp khách sạn và căn hộ khách sạn Xuân Diệu</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Đầu tư và Phát triển Xuân Diệu</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Số 99 đường Trần Hưng Đạo, phường Hải Cảng,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3.434,8 m</w:t>
            </w:r>
            <w:r w:rsidRPr="001A3C29">
              <w:rPr>
                <w:rFonts w:ascii="Times New Roman" w:hAnsi="Times New Roman" w:cs="Times New Roman"/>
                <w:sz w:val="20"/>
                <w:szCs w:val="20"/>
                <w:vertAlign w:val="superscript"/>
              </w:rPr>
              <w:t>2</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Khách sạn và căn hộ khách sạn (condotel)</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Đang triển khai thủ tục đầu tư xây dựng; chưa có GPXD</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2018-2020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Chậm tiến độ; chưa đủ điều kiện của bất động sản hình thành trong tương lai được đưa vào kinh doanh</w:t>
            </w:r>
          </w:p>
        </w:tc>
      </w:tr>
      <w:tr w:rsidR="001A3C29" w:rsidRPr="001A3C29" w:rsidTr="008B3708">
        <w:trPr>
          <w:trHeight w:val="315"/>
          <w:jc w:val="center"/>
        </w:trPr>
        <w:tc>
          <w:tcPr>
            <w:tcW w:w="954" w:type="dxa"/>
            <w:gridSpan w:val="2"/>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III.2</w:t>
            </w:r>
          </w:p>
        </w:tc>
        <w:tc>
          <w:tcPr>
            <w:tcW w:w="12391" w:type="dxa"/>
            <w:gridSpan w:val="8"/>
            <w:vAlign w:val="center"/>
            <w:hideMark/>
          </w:tcPr>
          <w:p w:rsidR="001A3C29" w:rsidRPr="001A3C29" w:rsidRDefault="001A3C29" w:rsidP="001A3C29">
            <w:pPr>
              <w:jc w:val="center"/>
              <w:rPr>
                <w:rFonts w:ascii="Times New Roman" w:hAnsi="Times New Roman" w:cs="Times New Roman"/>
                <w:b/>
                <w:bCs/>
                <w:sz w:val="20"/>
                <w:szCs w:val="20"/>
              </w:rPr>
            </w:pPr>
            <w:r w:rsidRPr="001A3C29">
              <w:rPr>
                <w:rFonts w:ascii="Times New Roman" w:hAnsi="Times New Roman" w:cs="Times New Roman"/>
                <w:b/>
                <w:bCs/>
                <w:sz w:val="20"/>
                <w:szCs w:val="20"/>
              </w:rPr>
              <w:t>ĐỊA BÀN KHU KINH TẾ TỈNH</w:t>
            </w:r>
          </w:p>
        </w:tc>
      </w:tr>
      <w:tr w:rsidR="001A3C29" w:rsidRPr="001A3C29" w:rsidTr="008B3708">
        <w:trPr>
          <w:trHeight w:val="220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lastRenderedPageBreak/>
              <w:t>49</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Đô thị du lịch sinh thái FLC Quy Nhơn</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Tập đoàn FLC</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du lịch biển Nhơn Lý - Cát Tiến, Khu kinh tế Nhơn Hội,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130,004 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Dự án đầu tư phát triển đô thị (nhà ở chung cư, liên kế, biệt thự, villa, khách sạn, condotel và các hạng mục dịch vụ thương mại khác)</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chấp thuận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Đủ điều kiện của bất động sản hình thành trong tương lai được đưa vào kinh doanh</w:t>
            </w:r>
          </w:p>
        </w:tc>
      </w:tr>
      <w:tr w:rsidR="001A3C29" w:rsidRPr="001A3C29" w:rsidTr="008B3708">
        <w:trPr>
          <w:trHeight w:val="2205"/>
          <w:jc w:val="center"/>
        </w:trPr>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50</w:t>
            </w:r>
          </w:p>
        </w:tc>
        <w:tc>
          <w:tcPr>
            <w:tcW w:w="47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2</w:t>
            </w:r>
          </w:p>
        </w:tc>
        <w:tc>
          <w:tcPr>
            <w:tcW w:w="1587"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Khu du lịch cao cấp Thiên Đường Xanh</w:t>
            </w:r>
          </w:p>
        </w:tc>
        <w:tc>
          <w:tcPr>
            <w:tcW w:w="1596"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Công ty Cổ phần Bất động sản Thành Châu</w:t>
            </w:r>
          </w:p>
        </w:tc>
        <w:tc>
          <w:tcPr>
            <w:tcW w:w="144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Điểm du lịch số 3, tuyến du lịch Nhơn Lý - Cát Tiến thuộc Khu kinh tế Nhơn hội, thành phố Quy Nhơn</w:t>
            </w:r>
          </w:p>
        </w:tc>
        <w:tc>
          <w:tcPr>
            <w:tcW w:w="1280"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112,95 ha</w:t>
            </w:r>
          </w:p>
        </w:tc>
        <w:tc>
          <w:tcPr>
            <w:tcW w:w="1538"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Biệt thự nghĩ dưỡng (không hình thành đơn vị ở), căn hộ khách sạn, trung tâm thương mại, dịch vụ, thể thao và du lịch biển…</w:t>
            </w:r>
          </w:p>
        </w:tc>
        <w:tc>
          <w:tcPr>
            <w:tcW w:w="1463"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Đã cấp quyết định chủ trương đầu tư</w:t>
            </w:r>
          </w:p>
        </w:tc>
        <w:tc>
          <w:tcPr>
            <w:tcW w:w="1195"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Từ quý 2/2017 - quý 1/2020</w:t>
            </w:r>
          </w:p>
        </w:tc>
        <w:tc>
          <w:tcPr>
            <w:tcW w:w="2284" w:type="dxa"/>
            <w:vAlign w:val="center"/>
            <w:hideMark/>
          </w:tcPr>
          <w:p w:rsidR="001A3C29" w:rsidRPr="001A3C29" w:rsidRDefault="001A3C29" w:rsidP="001A3C29">
            <w:pPr>
              <w:jc w:val="center"/>
              <w:rPr>
                <w:rFonts w:ascii="Times New Roman" w:hAnsi="Times New Roman" w:cs="Times New Roman"/>
                <w:sz w:val="20"/>
                <w:szCs w:val="20"/>
              </w:rPr>
            </w:pPr>
            <w:r w:rsidRPr="001A3C29">
              <w:rPr>
                <w:rFonts w:ascii="Times New Roman" w:hAnsi="Times New Roman" w:cs="Times New Roman"/>
                <w:sz w:val="20"/>
                <w:szCs w:val="20"/>
              </w:rPr>
              <w:t>Chậm tiến độ; chưa đủ điều kiện của bất động sản hình thành trong tương lai được đưa vào kinh doanh</w:t>
            </w:r>
          </w:p>
        </w:tc>
      </w:tr>
    </w:tbl>
    <w:p w:rsidR="001E038B" w:rsidRDefault="001E038B"/>
    <w:sectPr w:rsidR="001E038B" w:rsidSect="007D54C8">
      <w:pgSz w:w="15840" w:h="12240" w:orient="landscape"/>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4C8"/>
    <w:rsid w:val="001A3C29"/>
    <w:rsid w:val="001E038B"/>
    <w:rsid w:val="007D54C8"/>
    <w:rsid w:val="008B3708"/>
    <w:rsid w:val="009F2D1E"/>
    <w:rsid w:val="00F67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54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54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046121">
      <w:bodyDiv w:val="1"/>
      <w:marLeft w:val="0"/>
      <w:marRight w:val="0"/>
      <w:marTop w:val="0"/>
      <w:marBottom w:val="0"/>
      <w:divBdr>
        <w:top w:val="none" w:sz="0" w:space="0" w:color="auto"/>
        <w:left w:val="none" w:sz="0" w:space="0" w:color="auto"/>
        <w:bottom w:val="none" w:sz="0" w:space="0" w:color="auto"/>
        <w:right w:val="none" w:sz="0" w:space="0" w:color="auto"/>
      </w:divBdr>
    </w:div>
    <w:div w:id="1869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2945</Words>
  <Characters>16791</Characters>
  <Application>Microsoft Office Word</Application>
  <DocSecurity>0</DocSecurity>
  <Lines>139</Lines>
  <Paragraphs>39</Paragraphs>
  <ScaleCrop>false</ScaleCrop>
  <Company/>
  <LinksUpToDate>false</LinksUpToDate>
  <CharactersWithSpaces>19697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VU_QLN</dc:creator>
  <cp:lastModifiedBy>VU_QLN</cp:lastModifiedBy>
  <cp:revision>6</cp:revision>
  <dcterms:created xsi:type="dcterms:W3CDTF">2020-12-01T10:05:00Z</dcterms:created>
  <dcterms:modified xsi:type="dcterms:W3CDTF">2020-12-07T00:49:00Z</dcterms:modified>
</cp:coreProperties>
</file>